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B6B24">
      <w:pPr>
        <w:rPr>
          <w:rFonts w:hint="eastAsia"/>
        </w:rPr>
      </w:pPr>
    </w:p>
    <w:p w14:paraId="1DD7F6F5">
      <w:pPr>
        <w:rPr>
          <w:rFonts w:hint="eastAsia"/>
        </w:rPr>
      </w:pPr>
    </w:p>
    <w:p w14:paraId="1D9912F7">
      <w:pPr>
        <w:rPr>
          <w:rFonts w:hint="eastAsia"/>
        </w:rPr>
      </w:pPr>
    </w:p>
    <w:p w14:paraId="201DEA2A">
      <w:pPr>
        <w:pStyle w:val="13"/>
      </w:pPr>
      <w:r>
        <w:t>结核分子生物学耐药检测设备功能需求</w:t>
      </w:r>
    </w:p>
    <w:p w14:paraId="6DB87835">
      <w:pPr>
        <w:pStyle w:val="11"/>
      </w:pPr>
      <w:bookmarkStart w:id="0" w:name="_GoBack"/>
      <w:bookmarkEnd w:id="0"/>
      <w:r>
        <w:t>结核病，特别是耐药结核病（Drug-Resistant Tuberculosis, DR-TB），仍然是全球公共卫生的重大挑战。快速、准确地诊断结核分枝杆菌（MTB）感染并明确其耐药谱，是有效治疗患者、控制疫情传播的关键 。传统的细菌培养和药物敏感性试验（药敏试验）周期长，已无法满足现代临床快速诊疗的需求。分子生物学检测技术，特别是自动化、一体化的核酸扩增检测技术（NAATs），因其高速度、高灵敏度和高特异性，已成为结核病耐药检测领域的发展方向和世界卫生组织（WHO）推荐的关键技术。</w:t>
      </w:r>
    </w:p>
    <w:p w14:paraId="38A589CC">
      <w:pPr>
        <w:pStyle w:val="2"/>
        <w:numPr>
          <w:ilvl w:val="0"/>
          <w:numId w:val="1"/>
        </w:numPr>
        <w:ind w:left="0" w:leftChars="0" w:firstLine="0" w:firstLineChars="0"/>
        <w:rPr>
          <w:b w:val="0"/>
        </w:rPr>
      </w:pPr>
      <w:r>
        <w:t>检测目标与耐药基因覆盖范围</w:t>
      </w:r>
    </w:p>
    <w:p w14:paraId="41867354">
      <w:pPr>
        <w:pStyle w:val="11"/>
      </w:pPr>
      <w:r>
        <w:t>为应对当前及未来可能的耐药结核流行趋势，设备需具备广泛而精准的耐药基因检测能力。结核分枝杆菌复合群（MTBC）鉴定： 设备必须能准确鉴定结核分枝杆菌复合群，并能有效区分非结核分枝杆菌（NTM）。</w:t>
      </w:r>
    </w:p>
    <w:p w14:paraId="222C8F9B">
      <w:pPr>
        <w:pStyle w:val="11"/>
        <w:rPr>
          <w:b/>
          <w:color w:val="auto"/>
        </w:rPr>
      </w:pPr>
      <w:r>
        <w:rPr>
          <w:b/>
          <w:color w:val="auto"/>
        </w:rPr>
        <w:t>一线抗结核药物耐药基因检测：</w:t>
      </w:r>
    </w:p>
    <w:p w14:paraId="76E9E269">
      <w:pPr>
        <w:pStyle w:val="11"/>
      </w:pPr>
      <w:r>
        <w:t>利福平（Rifampicin, RIF）：必须覆盖rpoB基因的利福平耐药决定（RRDR）内的常见及非典型突变。利福平耐药是诊断耐多药结核病（MDR-TB）的关键指标。</w:t>
      </w:r>
    </w:p>
    <w:p w14:paraId="1ECC9FDC">
      <w:pPr>
        <w:pStyle w:val="11"/>
      </w:pPr>
      <w:r>
        <w:t>异烟肼（Isoniazid, INH）：必须能同时检测katG基因（高水平耐药和inhA启动子区（低水平耐药）的突变，以全面评估异烟肼的敏感性。</w:t>
      </w:r>
    </w:p>
    <w:p w14:paraId="73EE1662">
      <w:pPr>
        <w:pStyle w:val="11"/>
      </w:pPr>
      <w:r>
        <w:t>二线抗结核药物耐药基因检测：</w:t>
      </w:r>
    </w:p>
    <w:p w14:paraId="1AFFB0E7">
      <w:pPr>
        <w:pStyle w:val="11"/>
      </w:pPr>
      <w:r>
        <w:t>氟喹诺酮类（Fluoroquinolones, FQ）：必须覆盖gyrA和gyrB基因的关键突变位点，以检测左氧氟沙星（LFX）和莫西沙星（MFX）的耐药性 。这是诊断准广泛耐药结核病（Pre-XDR-TB）的核心。</w:t>
      </w:r>
    </w:p>
    <w:p w14:paraId="40EEA03D">
      <w:pPr>
        <w:pStyle w:val="11"/>
      </w:pPr>
      <w:r>
        <w:t>注射类药物（已逐步被新药替代，但仍需考虑）：覆盖 rrs和 eis启动子区的突变，用于检测阿米卡星（AMK）、卷曲霉素（CAP）和卡那霉素（KAN）的耐药性。</w:t>
      </w:r>
    </w:p>
    <w:p w14:paraId="1A46116B">
      <w:pPr>
        <w:pStyle w:val="3"/>
        <w:numPr>
          <w:ilvl w:val="0"/>
          <w:numId w:val="2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样本类型与适用性</w:t>
      </w:r>
    </w:p>
    <w:p w14:paraId="68E06644">
      <w:pPr>
        <w:pStyle w:val="11"/>
      </w:pPr>
      <w:r>
        <w:t>设备需具备处理我院临床常见及特殊样本类型的能力，以覆盖不同科室、不同病情的患者需求。</w:t>
      </w:r>
    </w:p>
    <w:p w14:paraId="4A97F2DC">
      <w:pPr>
        <w:pStyle w:val="11"/>
      </w:pPr>
      <w:r>
        <w:t>呼吸道样本：</w:t>
      </w:r>
    </w:p>
    <w:p w14:paraId="1CFB3274">
      <w:pPr>
        <w:pStyle w:val="11"/>
      </w:pPr>
      <w:r>
        <w:t>痰液（Sputum）： 必须高效处理不同粘稠度的痰液样本，包括浓痰、血痰、稀痰等。这是最主要的样本类型。</w:t>
      </w:r>
    </w:p>
    <w:p w14:paraId="5F144623">
      <w:pPr>
        <w:pStyle w:val="11"/>
      </w:pPr>
      <w:r>
        <w:t>诱导痰（Induced Sputum）、支气管肺泡灌洗液（BALF）： 能够处理样本量较大、细胞成分复杂的液体样本。</w:t>
      </w:r>
    </w:p>
    <w:p w14:paraId="1F465A83">
      <w:pPr>
        <w:pStyle w:val="11"/>
      </w:pPr>
      <w:r>
        <w:t>肺外组织与体液样本：</w:t>
      </w:r>
    </w:p>
    <w:p w14:paraId="0D2D396A">
      <w:pPr>
        <w:pStyle w:val="11"/>
      </w:pPr>
      <w:r>
        <w:t>组织样本（Tissue）： 如肺组织、淋巴结等，要求设备的前处理流程能有效裂解组织细胞，释放靶核酸。</w:t>
      </w:r>
    </w:p>
    <w:p w14:paraId="5F5EE8FF">
      <w:pPr>
        <w:pStyle w:val="11"/>
      </w:pPr>
      <w:r>
        <w:t>脑脊液（CSF）、胸腹水、尿液等： 能够处理这些菌量通常较低的液体样本，对设备的核酸提取效率和检测灵敏度提出了更高要求。</w:t>
      </w:r>
    </w:p>
    <w:p w14:paraId="51DEE58E">
      <w:pPr>
        <w:pStyle w:val="11"/>
      </w:pPr>
      <w:r>
        <w:t>培养物样本（Culture Isolates）： 支持对阳性培养物进行快速耐药基因检测，用于对传统药敏结果的补充或验证。</w:t>
      </w:r>
    </w:p>
    <w:p w14:paraId="70C8953B">
      <w:pPr>
        <w:pStyle w:val="11"/>
      </w:pPr>
      <w:r>
        <w:t>对样本前处理的兼容性： 无论设备自带何种前处理模块，其流程应能兼容经过NALC-NaOH等标准化方法液化、消化、去污染处理后的沉淀物样本，以适应实验室现有的标准化操作流程。</w:t>
      </w:r>
    </w:p>
    <w:p w14:paraId="23D6A776">
      <w:pPr>
        <w:pStyle w:val="3"/>
        <w:numPr>
          <w:ilvl w:val="0"/>
          <w:numId w:val="2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检测时效性要求（Turnaround Time, TAT）</w:t>
      </w:r>
    </w:p>
    <w:p w14:paraId="1CBE9D60">
      <w:pPr>
        <w:pStyle w:val="11"/>
      </w:pPr>
      <w:r>
        <w:t>从原始样本加载到设备，到最终出具可审核的耐药报告，总时间应有明确的上限。</w:t>
      </w:r>
    </w:p>
    <w:p w14:paraId="1CC688A9">
      <w:pPr>
        <w:rPr>
          <w:rFonts w:hint="eastAsia" w:ascii="黑体" w:hAnsi="黑体" w:eastAsia="黑体" w:cs="黑体"/>
          <w:b w:val="0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</w:t>
      </w:r>
      <w:r>
        <w:t>检测通量需求</w:t>
      </w:r>
    </w:p>
    <w:p w14:paraId="5284B798">
      <w:pPr>
        <w:pStyle w:val="11"/>
      </w:pPr>
      <w:r>
        <w:t>单次运行通量：设备单次满载运行时可处理的样本数量。应提供不同通量模块的选择，例如 4、8、16或32个样本模块，以满足不同规模的需求。</w:t>
      </w:r>
    </w:p>
    <w:p w14:paraId="3BDBE1E8">
      <w:pPr>
        <w:pStyle w:val="11"/>
      </w:pPr>
      <w:r>
        <w:t>日处理能力：考虑到运行、准备和间歇时间，设备在正常工作日（如8小时）内能够完成的总样本量。</w:t>
      </w:r>
    </w:p>
    <w:p w14:paraId="5D165712">
      <w:pPr>
        <w:pStyle w:val="11"/>
      </w:pPr>
      <w:r>
        <w:t>随机存取与连续加载：设备应支持随机存取（Random Access），允许在不同模块或通道上同时运行不同的检测项目（如一线耐药和二线耐药检测），并支持连续加载新样本，而无需中断正在进行的检测，实现真正的“随到随检”。</w:t>
      </w:r>
    </w:p>
    <w:p w14:paraId="2B3A15CC">
      <w:pPr>
        <w:pStyle w:val="2"/>
        <w:numPr>
          <w:ilvl w:val="0"/>
          <w:numId w:val="1"/>
        </w:numPr>
        <w:ind w:left="0" w:leftChars="0" w:firstLine="0" w:firstLineChars="0"/>
        <w:rPr>
          <w:b w:val="0"/>
        </w:rPr>
      </w:pPr>
      <w:r>
        <w:t>设备核心性能保障要求</w:t>
      </w:r>
    </w:p>
    <w:p w14:paraId="0AA4D1F2">
      <w:pPr>
        <w:pStyle w:val="3"/>
      </w:pPr>
      <w:r>
        <w:t>（一）分析性能核心指标</w:t>
      </w:r>
    </w:p>
    <w:p w14:paraId="60424B1A">
      <w:pPr>
        <w:pStyle w:val="11"/>
      </w:pPr>
      <w:r>
        <w:t>设备的检测性能必须经过严格验证，并提供权威机构的性能评估数据或相关注册认证文件。</w:t>
      </w:r>
    </w:p>
    <w:p w14:paraId="4D104C6D">
      <w:pPr>
        <w:pStyle w:val="11"/>
      </w:pPr>
      <w:r>
        <w:rPr>
          <w:b/>
          <w:color w:val="auto"/>
        </w:rPr>
        <w:t>灵敏度（Sensitivity）：</w:t>
      </w:r>
    </w:p>
    <w:p w14:paraId="490B9C1C">
      <w:pPr>
        <w:pStyle w:val="11"/>
      </w:pPr>
      <w:r>
        <w:t>对于痰涂片阳性样本，检测MTBC及其耐药基因的灵敏度应 ≥98%。</w:t>
      </w:r>
    </w:p>
    <w:p w14:paraId="0DC09325">
      <w:pPr>
        <w:pStyle w:val="11"/>
      </w:pPr>
      <w:r>
        <w:t>对于痰涂片阴性、培养阳性的样本，检测MTBC的灵敏度应 ≥80%。</w:t>
      </w:r>
    </w:p>
    <w:p w14:paraId="5E593886">
      <w:pPr>
        <w:pStyle w:val="11"/>
      </w:pPr>
      <w:r>
        <w:t>设备的最低检测限（Limit of Detection, LoD）需明确，例如对于MTBC检测，应能达到 10-100 CFU/mL 的水平。</w:t>
      </w:r>
    </w:p>
    <w:p w14:paraId="1A212A2D">
      <w:pPr>
        <w:pStyle w:val="11"/>
      </w:pPr>
      <w:r>
        <w:rPr>
          <w:b/>
        </w:rPr>
        <w:t>特异性（Specificity）：</w:t>
      </w:r>
    </w:p>
    <w:p w14:paraId="6CBB7E34">
      <w:pPr>
        <w:pStyle w:val="11"/>
      </w:pPr>
      <w:r>
        <w:t>检测MTBC及其耐药基因的特异性应 ≥98%，需提供与常见非结核分枝杆菌（NTM）及其他呼吸道病原体无交叉反应的验证数据。</w:t>
      </w:r>
    </w:p>
    <w:p w14:paraId="603C7DA3">
      <w:pPr>
        <w:pStyle w:val="11"/>
      </w:pPr>
      <w:r>
        <w:t>准确性（Accuracy）：与金标准方法（如培养法药敏试验或基因测序）相比，对已知耐药和敏感菌株的检测符合率应 ≥95%。</w:t>
      </w:r>
    </w:p>
    <w:p w14:paraId="14180D2B">
      <w:pPr>
        <w:pStyle w:val="11"/>
        <w:rPr>
          <w:b/>
        </w:rPr>
      </w:pPr>
      <w:r>
        <w:rPr>
          <w:b/>
        </w:rPr>
        <w:t>精密度（Precision）：</w:t>
      </w:r>
    </w:p>
    <w:p w14:paraId="47143247">
      <w:pPr>
        <w:pStyle w:val="11"/>
      </w:pPr>
      <w:r>
        <w:t>重复性（Repeatability）： 在相同条件下，由同一操作者使用同一设备对同一样本进行多次检测，结果（如Ct值）的变异系数（CV%）应 ≤5%。</w:t>
      </w:r>
    </w:p>
    <w:p w14:paraId="53F3FE02">
      <w:pPr>
        <w:pStyle w:val="11"/>
      </w:pPr>
      <w:r>
        <w:t>再现性（Reproducibility）： 在不同时间、由不同操作者或使用不同批次试剂对同一样本进行检测，结果应高度一致，批内、批间和日间CV%均应满足质量控制要求。</w:t>
      </w:r>
    </w:p>
    <w:p w14:paraId="78D5E69A">
      <w:pPr>
        <w:pStyle w:val="2"/>
        <w:numPr>
          <w:ilvl w:val="0"/>
          <w:numId w:val="1"/>
        </w:numPr>
        <w:ind w:left="0" w:leftChars="0" w:firstLine="0" w:firstLineChars="0"/>
        <w:rPr>
          <w:b w:val="0"/>
        </w:rPr>
      </w:pPr>
      <w:r>
        <w:t>核酸扩增与检测模块</w:t>
      </w:r>
    </w:p>
    <w:p w14:paraId="396F9D37">
      <w:pPr>
        <w:pStyle w:val="3"/>
        <w:numPr>
          <w:ilvl w:val="0"/>
          <w:numId w:val="3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技术平台：</w:t>
      </w:r>
    </w:p>
    <w:p w14:paraId="4D846C75">
      <w:pPr>
        <w:pStyle w:val="11"/>
      </w:pPr>
      <w:r>
        <w:t>实时荧光定量PCR（qPCR）：设备必须具备高精度的温控系统和灵敏的光学检测系统。</w:t>
      </w:r>
    </w:p>
    <w:p w14:paraId="3DE2712F">
      <w:pPr>
        <w:pStyle w:val="11"/>
      </w:pPr>
      <w:r>
        <w:t>熔解曲线分析（MCA）：必须支持高分辨率熔解曲线（HRM）分析，用于对扩增产物进行突变筛查和分型。</w:t>
      </w:r>
    </w:p>
    <w:p w14:paraId="764E1E45">
      <w:pPr>
        <w:pStyle w:val="3"/>
        <w:numPr>
          <w:ilvl w:val="0"/>
          <w:numId w:val="3"/>
        </w:numPr>
        <w:topLinePunct w:val="0"/>
        <w:ind w:left="0" w:leftChars="0" w:firstLine="0" w:firstLineChars="0"/>
        <w:rPr>
          <w:b w:val="0"/>
        </w:rPr>
      </w:pPr>
      <w:r>
        <w:t>性能参数：</w:t>
      </w:r>
    </w:p>
    <w:p w14:paraId="7C26F96B">
      <w:pPr>
        <w:pStyle w:val="11"/>
      </w:pPr>
      <w:r>
        <w:t>温控性能：</w:t>
      </w:r>
    </w:p>
    <w:p w14:paraId="3CBEF70F">
      <w:pPr>
        <w:pStyle w:val="11"/>
      </w:pPr>
      <w:r>
        <w:t>升降温速率：最大升降温速率应 ≥5℃/秒，以缩短PCR反应时间。</w:t>
      </w:r>
    </w:p>
    <w:p w14:paraId="3CF48A6C">
      <w:pPr>
        <w:pStyle w:val="11"/>
      </w:pPr>
      <w:r>
        <w:t>温度准确性与均匀性：孔间温度准确性应在 ±0.2℃ 以内，均匀性 ≤0.2℃，确保所有反应孔的条件高度一致。</w:t>
      </w:r>
    </w:p>
    <w:p w14:paraId="1F54C253">
      <w:pPr>
        <w:pStyle w:val="11"/>
      </w:pPr>
      <w:r>
        <w:t>光学性能：</w:t>
      </w:r>
    </w:p>
    <w:p w14:paraId="39EB70BC">
      <w:pPr>
        <w:pStyle w:val="11"/>
      </w:pPr>
      <w:r>
        <w:t>荧光通道：至少支持 4-6个检测通道，以满足多重检测的需求。</w:t>
      </w:r>
    </w:p>
    <w:p w14:paraId="3634BF3F">
      <w:pPr>
        <w:pStyle w:val="11"/>
      </w:pPr>
      <w:r>
        <w:t xml:space="preserve">激发与检测光源：采用长寿命、高亮度的LED光源，配合高灵敏度的检测器         </w:t>
      </w:r>
    </w:p>
    <w:p w14:paraId="7393DB78">
      <w:pPr>
        <w:pStyle w:val="11"/>
      </w:pPr>
      <w:r>
        <w:t>动态检测范围： 线性范围宽，能够准确检测从几个拷贝到10</w:t>
      </w:r>
      <w:r>
        <w:rPr>
          <w:vertAlign w:val="superscript"/>
        </w:rPr>
        <w:t>8</w:t>
      </w:r>
      <w:r>
        <w:t>拷贝以上的模板。</w:t>
      </w:r>
    </w:p>
    <w:p w14:paraId="4B9F807D">
      <w:pPr>
        <w:pStyle w:val="2"/>
        <w:numPr>
          <w:ilvl w:val="0"/>
          <w:numId w:val="1"/>
        </w:numPr>
        <w:ind w:left="0" w:leftChars="0" w:firstLine="0" w:firstLineChars="0"/>
        <w:rPr>
          <w:b w:val="0"/>
        </w:rPr>
      </w:pPr>
      <w:r>
        <w:t>法规认证要求</w:t>
      </w:r>
    </w:p>
    <w:p w14:paraId="5B44790E">
      <w:pPr>
        <w:pStyle w:val="3"/>
      </w:pPr>
      <w:r>
        <w:t>（一） 国家药品监督管理局注册认证：</w:t>
      </w:r>
    </w:p>
    <w:p w14:paraId="36658591">
      <w:pPr>
        <w:pStyle w:val="11"/>
      </w:pPr>
      <w:r>
        <w:t>设备本身必须取得NMPA颁发的《医疗器械注册证》。</w:t>
      </w:r>
    </w:p>
    <w:p w14:paraId="63753FC5">
      <w:pPr>
        <w:pStyle w:val="11"/>
      </w:pPr>
      <w:r>
        <w:t>配套使用的所有检测试剂盒，包括结核鉴定、一线和二线耐药检测试剂，都必须取得相应的《体外诊断试剂注册证》。</w:t>
      </w:r>
    </w:p>
    <w:p w14:paraId="789A28AB">
      <w:pPr>
        <w:pStyle w:val="2"/>
        <w:numPr>
          <w:ilvl w:val="0"/>
          <w:numId w:val="1"/>
        </w:numPr>
        <w:ind w:left="0" w:leftChars="0" w:firstLine="0" w:firstLineChars="0"/>
        <w:rPr>
          <w:b w:val="0"/>
        </w:rPr>
      </w:pPr>
      <w:r>
        <w:t>安装、培训与售后服务：</w:t>
      </w:r>
    </w:p>
    <w:p w14:paraId="1EC730F9">
      <w:pPr>
        <w:pStyle w:val="11"/>
      </w:pPr>
      <w:r>
        <w:t>供应商必须提供专业的现场安装调试服务，并完成安装确认（IQ）、运行确认（OQ）和性能确认（PQ）。</w:t>
      </w:r>
    </w:p>
    <w:p w14:paraId="04980EC0">
      <w:pPr>
        <w:pStyle w:val="11"/>
      </w:pPr>
      <w:r>
        <w:t>提供全面、系统的现场技术培训和应用培训，确保至少2-3名实验室人员能够独立操作、维护设备并进行结果解读。</w:t>
      </w:r>
    </w:p>
    <w:p w14:paraId="46E0822F">
      <w:pPr>
        <w:pStyle w:val="11"/>
      </w:pPr>
      <w:r>
        <w:t>售后服务保障：</w:t>
      </w:r>
    </w:p>
    <w:p w14:paraId="17A241E7">
      <w:pPr>
        <w:pStyle w:val="11"/>
      </w:pPr>
      <w:r>
        <w:t>保修期： 整机免费保修期不少于2年。</w:t>
      </w:r>
    </w:p>
    <w:p w14:paraId="4B453570">
      <w:pPr>
        <w:pStyle w:val="11"/>
      </w:pPr>
      <w:r>
        <w:t>响应时间： 在接到报修通知后，应在2小时内电话响应，24小时内到达现场解决问题。</w:t>
      </w:r>
    </w:p>
    <w:p w14:paraId="0C9FB245">
      <w:pPr>
        <w:pStyle w:val="11"/>
      </w:pPr>
      <w:r>
        <w:t>备件供应： 在国内应设有备件库，确保常用备件的及时供应。</w:t>
      </w:r>
    </w:p>
    <w:p w14:paraId="769C0BD2">
      <w:pPr>
        <w:pStyle w:val="11"/>
      </w:pPr>
      <w:r>
        <w:t>件升级： 在设备生命周期内，提供免费的软件功能升级服务。</w:t>
      </w:r>
    </w:p>
    <w:p w14:paraId="05910DBF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541A80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FD3C38-168D-4A85-8967-8A0FAD3C53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28C47CA-E93A-4ACC-A1BE-0D8F12EEFDA0}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F9952F5-AECF-4B1A-88D1-1C5A782C53D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F306B9"/>
    <w:multiLevelType w:val="singleLevel"/>
    <w:tmpl w:val="16F306B9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1">
    <w:nsid w:val="6456B9DB"/>
    <w:multiLevelType w:val="singleLevel"/>
    <w:tmpl w:val="6456B9DB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2">
    <w:nsid w:val="69B38B75"/>
    <w:multiLevelType w:val="singleLevel"/>
    <w:tmpl w:val="69B38B75"/>
    <w:lvl w:ilvl="0" w:tentative="0">
      <w:start w:val="1"/>
      <w:numFmt w:val="chineseCounting"/>
      <w:suff w:val="space"/>
      <w:lvlText w:val="%1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D7C23"/>
    <w:rsid w:val="697E4D57"/>
    <w:rsid w:val="6B76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2227</Words>
  <Characters>2586</Characters>
  <Lines>0</Lines>
  <Paragraphs>0</Paragraphs>
  <TotalTime>4000</TotalTime>
  <ScaleCrop>false</ScaleCrop>
  <LinksUpToDate>false</LinksUpToDate>
  <CharactersWithSpaces>2644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2026-01-08T09:25:00Z</dcterms:created>
  <dc:creator>Administrator</dc:creator>
  <cp:lastModifiedBy>h h</cp:lastModifiedBy>
  <dcterms:modified xsi:type="dcterms:W3CDTF">2026-01-12T09:51:05Z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eyJoZGlkIjoiNzI5YzI0MDY1NWE5MzE4MTkzY2RlMGQyZDZlMmY1ZjEiLCJ1c2VySWQiOiI0NTM1NDYyMDQifQ==</vt:lpwstr>
  </property>
  <property fmtid="{D5CDD505-2E9C-101B-9397-08002B2CF9AE}" pid="4" name="ICV">
    <vt:lpwstr>35A2387ABE7649378C2EAFCEEA2A3AAC_13</vt:lpwstr>
  </property>
</Properties>
</file>